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佛山建业大厦弱电智能化工程</w:t>
      </w:r>
      <w:r>
        <w:rPr>
          <w:rFonts w:hint="eastAsia" w:ascii="宋体" w:hAnsi="宋体" w:cs="宋体"/>
          <w:b/>
          <w:bCs w:val="0"/>
          <w:sz w:val="24"/>
          <w:highlight w:val="none"/>
          <w:u w:val="single"/>
          <w:lang w:val="en-US" w:eastAsia="zh-CN"/>
        </w:rPr>
        <w:t>施工劳务</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w:t>
      </w:r>
      <w:r>
        <w:rPr>
          <w:rFonts w:hint="eastAsia" w:ascii="宋体" w:hAnsi="宋体" w:cs="宋体"/>
          <w:bCs/>
          <w:sz w:val="24"/>
          <w:highlight w:val="none"/>
          <w:lang w:val="en-US" w:eastAsia="zh-CN"/>
        </w:rPr>
        <w:t>劳务</w:t>
      </w:r>
      <w:r>
        <w:rPr>
          <w:rFonts w:hint="eastAsia" w:ascii="宋体" w:hAnsi="宋体" w:cs="宋体"/>
          <w:bCs/>
          <w:sz w:val="24"/>
          <w:highlight w:val="none"/>
        </w:rPr>
        <w:t>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佛山建业大厦弱电智能化工程，本项目位于佛山市禅城区石湾街道绿景东路35号。</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（报价</w:t>
      </w:r>
      <w:r>
        <w:rPr>
          <w:rFonts w:hint="eastAsia" w:ascii="宋体" w:hAnsi="宋体" w:cs="宋体"/>
          <w:bCs/>
          <w:sz w:val="24"/>
          <w:highlight w:val="none"/>
          <w:lang w:val="en-US" w:eastAsia="zh-CN"/>
        </w:rPr>
        <w:t>单位在投标报价</w:t>
      </w:r>
      <w:r>
        <w:rPr>
          <w:rFonts w:hint="eastAsia" w:ascii="宋体" w:hAnsi="宋体" w:cs="宋体"/>
          <w:bCs/>
          <w:sz w:val="24"/>
          <w:highlight w:val="none"/>
        </w:rPr>
        <w:t>前必需勘察现场，充分考虑现场条件</w:t>
      </w:r>
      <w:r>
        <w:rPr>
          <w:rFonts w:hint="eastAsia" w:ascii="宋体" w:hAnsi="宋体" w:cs="宋体"/>
          <w:bCs/>
          <w:sz w:val="24"/>
          <w:highlight w:val="none"/>
          <w:lang w:eastAsia="zh-CN"/>
        </w:rPr>
        <w:t>，</w:t>
      </w:r>
      <w:r>
        <w:rPr>
          <w:rFonts w:hint="eastAsia" w:ascii="宋体" w:hAnsi="宋体" w:cs="宋体"/>
          <w:bCs/>
          <w:sz w:val="24"/>
          <w:highlight w:val="none"/>
        </w:rPr>
        <w:t>现场踏勘联系人：项目经理</w:t>
      </w:r>
      <w:r>
        <w:rPr>
          <w:rFonts w:hint="eastAsia" w:ascii="宋体" w:hAnsi="宋体" w:cs="宋体"/>
          <w:bCs/>
          <w:sz w:val="24"/>
          <w:highlight w:val="none"/>
          <w:u w:val="single"/>
          <w:lang w:val="en-US" w:eastAsia="zh-CN"/>
        </w:rPr>
        <w:t xml:space="preserve"> 罗经理  </w:t>
      </w:r>
      <w:r>
        <w:rPr>
          <w:rFonts w:hint="eastAsia" w:ascii="宋体" w:hAnsi="宋体" w:cs="宋体"/>
          <w:bCs/>
          <w:sz w:val="24"/>
          <w:highlight w:val="none"/>
        </w:rPr>
        <w:t>，联系电话</w:t>
      </w:r>
      <w:r>
        <w:rPr>
          <w:rFonts w:hint="eastAsia" w:ascii="宋体" w:hAnsi="宋体" w:cs="宋体"/>
          <w:bCs/>
          <w:sz w:val="24"/>
          <w:highlight w:val="none"/>
          <w:lang w:eastAsia="zh-CN"/>
        </w:rPr>
        <w:t>：</w:t>
      </w:r>
      <w:r>
        <w:rPr>
          <w:rFonts w:hint="eastAsia" w:ascii="宋体" w:hAnsi="宋体" w:cs="宋体"/>
          <w:bCs/>
          <w:sz w:val="24"/>
          <w:highlight w:val="none"/>
          <w:u w:val="single"/>
          <w:lang w:val="en-US" w:eastAsia="zh-CN"/>
        </w:rPr>
        <w:t xml:space="preserve">18929809661  </w:t>
      </w:r>
      <w:r>
        <w:rPr>
          <w:rFonts w:hint="eastAsia" w:ascii="宋体" w:hAnsi="宋体" w:cs="宋体"/>
          <w:bCs/>
          <w:sz w:val="24"/>
          <w:highlight w:val="none"/>
          <w:lang w:val="en-US" w:eastAsia="zh-CN"/>
        </w:rPr>
        <w:t xml:space="preserve"> </w:t>
      </w:r>
      <w:r>
        <w:rPr>
          <w:rFonts w:hint="eastAsia" w:ascii="宋体" w:hAnsi="宋体" w:cs="宋体"/>
          <w:bCs/>
          <w:sz w:val="24"/>
          <w:highlight w:val="none"/>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主要施工内容：智能化专网系统、办公专网系统、视频监控系统、出入口（门禁）管理系统、停车场管理系统、电子巡更系统、电梯五方通话系统、紧急报警系统、能耗管理系统、信息发布系统、机房工程、弱电综合管路等系统的施工，并配合完成验收工作。具体内容详见工程量清单及相关图纸。</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工期150日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w:t>
      </w:r>
      <w:r>
        <w:rPr>
          <w:rFonts w:hint="eastAsia" w:ascii="宋体" w:hAnsi="宋体" w:cs="宋体"/>
          <w:b w:val="0"/>
          <w:bCs/>
          <w:color w:val="auto"/>
          <w:sz w:val="24"/>
          <w:highlight w:val="none"/>
          <w:lang w:eastAsia="zh-CN"/>
        </w:rPr>
        <w:t>本分包工程施工的“</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240000.00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71555A63">
      <w:pPr>
        <w:spacing w:line="360" w:lineRule="auto"/>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四</w:t>
      </w:r>
      <w:r>
        <w:rPr>
          <w:rFonts w:hint="eastAsia" w:ascii="宋体" w:hAnsi="宋体" w:cs="宋体"/>
          <w:bCs/>
          <w:sz w:val="24"/>
          <w:highlight w:val="none"/>
          <w:lang w:eastAsia="zh-CN"/>
        </w:rPr>
        <w:t>）</w:t>
      </w:r>
      <w:r>
        <w:rPr>
          <w:rFonts w:hint="eastAsia" w:ascii="宋体" w:hAnsi="宋体" w:cs="宋体"/>
          <w:bCs/>
          <w:sz w:val="24"/>
          <w:highlight w:val="none"/>
          <w:lang w:val="en-US" w:eastAsia="zh-CN"/>
        </w:rPr>
        <w:t>4.1中标人</w:t>
      </w:r>
      <w:r>
        <w:rPr>
          <w:rFonts w:hint="eastAsia" w:ascii="宋体" w:hAnsi="宋体" w:cs="宋体"/>
          <w:bCs/>
          <w:sz w:val="24"/>
          <w:highlight w:val="none"/>
          <w:lang w:eastAsia="zh-CN"/>
        </w:rPr>
        <w:t>须严格按图施工，确保符合设计及规范要求。</w:t>
      </w:r>
    </w:p>
    <w:p w14:paraId="6BC00F54">
      <w:pPr>
        <w:spacing w:line="360" w:lineRule="auto"/>
        <w:ind w:left="638" w:leftChars="304" w:firstLine="417" w:firstLineChars="174"/>
        <w:rPr>
          <w:rFonts w:hint="eastAsia" w:ascii="宋体" w:hAnsi="宋体" w:cs="宋体"/>
          <w:bCs/>
          <w:sz w:val="24"/>
          <w:highlight w:val="none"/>
          <w:lang w:eastAsia="zh-CN"/>
        </w:rPr>
      </w:pPr>
      <w:r>
        <w:rPr>
          <w:rFonts w:hint="eastAsia" w:ascii="宋体" w:hAnsi="宋体" w:cs="宋体"/>
          <w:bCs/>
          <w:sz w:val="24"/>
          <w:highlight w:val="none"/>
          <w:lang w:val="en-US" w:eastAsia="zh-CN"/>
        </w:rPr>
        <w:t>4.2</w:t>
      </w:r>
      <w:r>
        <w:rPr>
          <w:rFonts w:hint="eastAsia" w:ascii="宋体" w:hAnsi="宋体" w:cs="宋体"/>
          <w:bCs/>
          <w:sz w:val="24"/>
          <w:highlight w:val="none"/>
          <w:lang w:eastAsia="zh-CN"/>
        </w:rPr>
        <w:t>甲供材料详见清单所列内容；</w:t>
      </w:r>
    </w:p>
    <w:p w14:paraId="3CA95808">
      <w:pPr>
        <w:spacing w:line="360" w:lineRule="auto"/>
        <w:ind w:left="638" w:leftChars="304" w:firstLine="417" w:firstLineChars="174"/>
        <w:rPr>
          <w:rFonts w:hint="eastAsia" w:ascii="宋体" w:hAnsi="宋体" w:cs="宋体"/>
          <w:bCs/>
          <w:sz w:val="24"/>
          <w:highlight w:val="none"/>
          <w:lang w:eastAsia="zh-CN"/>
        </w:rPr>
      </w:pPr>
      <w:r>
        <w:rPr>
          <w:rFonts w:hint="eastAsia" w:ascii="宋体" w:hAnsi="宋体" w:cs="宋体"/>
          <w:bCs/>
          <w:sz w:val="24"/>
          <w:highlight w:val="none"/>
          <w:lang w:val="en-US" w:eastAsia="zh-CN"/>
        </w:rPr>
        <w:t>4.3</w:t>
      </w:r>
      <w:r>
        <w:rPr>
          <w:rFonts w:hint="eastAsia" w:ascii="宋体" w:hAnsi="宋体" w:cs="宋体"/>
          <w:bCs/>
          <w:sz w:val="24"/>
          <w:highlight w:val="none"/>
          <w:lang w:eastAsia="zh-CN"/>
        </w:rPr>
        <w:t>手工井、安全岛、监控立杆基础、监控机房装修、照明、接地、室外管道等按包工包料方式报价，详见清单备注。</w:t>
      </w:r>
    </w:p>
    <w:p w14:paraId="66A2EE97">
      <w:pPr>
        <w:spacing w:line="360" w:lineRule="auto"/>
        <w:ind w:left="638" w:leftChars="304" w:firstLine="417" w:firstLineChars="174"/>
        <w:rPr>
          <w:rFonts w:hint="eastAsia" w:ascii="宋体" w:hAnsi="宋体" w:cs="宋体"/>
          <w:bCs/>
          <w:sz w:val="24"/>
          <w:highlight w:val="none"/>
          <w:lang w:eastAsia="zh-CN"/>
        </w:rPr>
      </w:pPr>
      <w:r>
        <w:rPr>
          <w:rFonts w:hint="eastAsia" w:ascii="宋体" w:hAnsi="宋体" w:cs="宋体"/>
          <w:bCs/>
          <w:sz w:val="24"/>
          <w:highlight w:val="none"/>
          <w:lang w:val="en-US" w:eastAsia="zh-CN"/>
        </w:rPr>
        <w:t>4.4</w:t>
      </w:r>
      <w:r>
        <w:rPr>
          <w:rFonts w:hint="eastAsia" w:ascii="宋体" w:hAnsi="宋体" w:cs="宋体"/>
          <w:bCs/>
          <w:sz w:val="24"/>
          <w:highlight w:val="none"/>
          <w:lang w:eastAsia="zh-CN"/>
        </w:rPr>
        <w:t>未单独列项的费用应在其他项目中综合计取。</w:t>
      </w:r>
    </w:p>
    <w:p w14:paraId="6C3ED311">
      <w:pPr>
        <w:spacing w:line="360" w:lineRule="auto"/>
        <w:ind w:left="638" w:leftChars="304" w:firstLine="417" w:firstLineChars="174"/>
        <w:rPr>
          <w:rFonts w:hint="eastAsia" w:ascii="宋体" w:hAnsi="宋体" w:cs="宋体"/>
          <w:bCs/>
          <w:sz w:val="24"/>
          <w:highlight w:val="none"/>
          <w:lang w:eastAsia="zh-CN"/>
        </w:rPr>
      </w:pPr>
      <w:r>
        <w:rPr>
          <w:rFonts w:hint="eastAsia" w:ascii="宋体" w:hAnsi="宋体" w:cs="宋体"/>
          <w:bCs/>
          <w:sz w:val="24"/>
          <w:highlight w:val="none"/>
          <w:lang w:val="en-US" w:eastAsia="zh-CN"/>
        </w:rPr>
        <w:t>4.5</w:t>
      </w:r>
      <w:r>
        <w:rPr>
          <w:rFonts w:hint="eastAsia" w:ascii="宋体" w:hAnsi="宋体" w:cs="宋体"/>
          <w:bCs/>
          <w:sz w:val="24"/>
          <w:highlight w:val="none"/>
          <w:lang w:eastAsia="zh-CN"/>
        </w:rPr>
        <w:t>乙方负责采购其他辅材（如角铁、丝杆等），并应充分考虑相关辅材、调试等费用，纳入报价并作说明。</w:t>
      </w:r>
    </w:p>
    <w:p w14:paraId="42506451">
      <w:pPr>
        <w:spacing w:line="360" w:lineRule="auto"/>
        <w:ind w:left="638" w:leftChars="304" w:firstLine="417" w:firstLineChars="174"/>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4.6</w:t>
      </w:r>
      <w:r>
        <w:rPr>
          <w:rFonts w:hint="eastAsia" w:ascii="宋体" w:hAnsi="宋体" w:cs="宋体"/>
          <w:bCs/>
          <w:sz w:val="24"/>
          <w:highlight w:val="none"/>
          <w:lang w:eastAsia="zh-CN"/>
        </w:rPr>
        <w:t>施工前须现场勘查，综合考虑高空作业车、脚手架、临时仓库等现场条件，相应费用纳入报价。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0" w:firstLineChars="200"/>
        <w:jc w:val="left"/>
        <w:rPr>
          <w:rFonts w:hint="eastAsia" w:ascii="宋体" w:hAnsi="宋体" w:cs="宋体"/>
          <w:bCs/>
          <w:color w:val="auto"/>
          <w:sz w:val="24"/>
          <w:highlight w:val="none"/>
          <w:lang w:val="zh-TW" w:eastAsia="zh-TW"/>
        </w:rPr>
      </w:pPr>
      <w:r>
        <w:rPr>
          <w:rFonts w:hint="eastAsia" w:ascii="宋体" w:hAnsi="宋体" w:cs="宋体"/>
          <w:bCs/>
          <w:color w:val="auto"/>
          <w:sz w:val="24"/>
          <w:highlight w:val="none"/>
          <w:lang w:val="en-US" w:eastAsia="zh-CN"/>
        </w:rPr>
        <w:t>报价文件出现下列情形之一的，应当作为无效报价文件：</w:t>
      </w:r>
    </w:p>
    <w:p w14:paraId="0A600D47">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（一）</w:t>
      </w:r>
      <w:r>
        <w:rPr>
          <w:rFonts w:hint="eastAsia" w:ascii="宋体" w:hAnsi="宋体"/>
          <w:sz w:val="24"/>
          <w:szCs w:val="24"/>
          <w:highlight w:val="none"/>
        </w:rPr>
        <w:t>报价</w:t>
      </w:r>
      <w:r>
        <w:rPr>
          <w:rFonts w:ascii="宋体" w:hAnsi="宋体"/>
          <w:sz w:val="24"/>
          <w:szCs w:val="24"/>
          <w:highlight w:val="none"/>
        </w:rPr>
        <w:t>文件未按照本</w:t>
      </w:r>
      <w:r>
        <w:rPr>
          <w:rFonts w:hint="eastAsia" w:ascii="宋体" w:hAnsi="宋体"/>
          <w:sz w:val="24"/>
          <w:szCs w:val="24"/>
          <w:highlight w:val="none"/>
          <w:lang w:val="en-US" w:eastAsia="zh-CN"/>
        </w:rPr>
        <w:t>询价文件</w:t>
      </w:r>
      <w:r>
        <w:rPr>
          <w:rFonts w:ascii="宋体" w:hAnsi="宋体"/>
          <w:sz w:val="24"/>
          <w:szCs w:val="24"/>
          <w:highlight w:val="none"/>
        </w:rPr>
        <w:t>要求装订、密封和标记的</w:t>
      </w:r>
      <w:r>
        <w:rPr>
          <w:rFonts w:hint="eastAsia" w:ascii="宋体" w:hAnsi="宋体"/>
          <w:sz w:val="24"/>
          <w:szCs w:val="24"/>
          <w:highlight w:val="none"/>
          <w:lang w:eastAsia="zh-CN"/>
        </w:rPr>
        <w:t>，</w:t>
      </w:r>
      <w:r>
        <w:rPr>
          <w:rFonts w:ascii="宋体" w:hAnsi="宋体"/>
          <w:sz w:val="24"/>
          <w:szCs w:val="24"/>
          <w:highlight w:val="none"/>
        </w:rPr>
        <w:t>关键内容字迹模糊、无法辨认的；</w:t>
      </w:r>
    </w:p>
    <w:p w14:paraId="46C9CAFB">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二</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报价</w:t>
      </w:r>
      <w:r>
        <w:rPr>
          <w:rFonts w:ascii="宋体" w:hAnsi="宋体"/>
          <w:sz w:val="24"/>
          <w:szCs w:val="24"/>
          <w:highlight w:val="none"/>
        </w:rPr>
        <w:t>文件</w:t>
      </w:r>
      <w:r>
        <w:rPr>
          <w:rFonts w:hint="eastAsia" w:ascii="宋体" w:hAnsi="宋体"/>
          <w:sz w:val="24"/>
          <w:szCs w:val="24"/>
          <w:highlight w:val="none"/>
          <w:lang w:val="en-US" w:eastAsia="zh-CN"/>
        </w:rPr>
        <w:t>未提供“营业执照”文件、</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资质文件及</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文件</w:t>
      </w:r>
      <w:r>
        <w:rPr>
          <w:rFonts w:hint="eastAsia" w:ascii="宋体" w:hAnsi="宋体" w:cs="宋体"/>
          <w:b w:val="0"/>
          <w:bCs/>
          <w:color w:val="auto"/>
          <w:sz w:val="24"/>
          <w:highlight w:val="none"/>
          <w:lang w:eastAsia="zh-CN"/>
        </w:rPr>
        <w:t>的</w:t>
      </w:r>
      <w:r>
        <w:rPr>
          <w:rFonts w:ascii="宋体" w:hAnsi="宋体"/>
          <w:sz w:val="24"/>
          <w:szCs w:val="24"/>
          <w:highlight w:val="none"/>
        </w:rPr>
        <w:t>；</w:t>
      </w:r>
    </w:p>
    <w:p w14:paraId="510DACE6">
      <w:pPr>
        <w:spacing w:line="360" w:lineRule="auto"/>
        <w:ind w:firstLine="410" w:firstLineChars="171"/>
        <w:rPr>
          <w:rFonts w:hint="eastAsia"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三</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逾期送达的或者未送达指定地点的；</w:t>
      </w:r>
    </w:p>
    <w:p w14:paraId="12F6680C">
      <w:pPr>
        <w:spacing w:line="360" w:lineRule="auto"/>
        <w:ind w:firstLine="410" w:firstLineChars="171"/>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四</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lang w:eastAsia="zh-CN"/>
        </w:rPr>
        <w:t>投标人</w:t>
      </w:r>
      <w:r>
        <w:rPr>
          <w:rFonts w:hint="eastAsia" w:ascii="宋体" w:hAnsi="宋体"/>
          <w:sz w:val="24"/>
          <w:szCs w:val="24"/>
          <w:highlight w:val="none"/>
        </w:rPr>
        <w:t>报价超过采购</w:t>
      </w:r>
      <w:r>
        <w:rPr>
          <w:rFonts w:hint="eastAsia" w:ascii="宋体" w:hAnsi="宋体"/>
          <w:sz w:val="24"/>
          <w:szCs w:val="24"/>
          <w:highlight w:val="none"/>
          <w:lang w:val="en-US" w:eastAsia="zh-CN"/>
        </w:rPr>
        <w:t>预算金额</w:t>
      </w:r>
      <w:r>
        <w:rPr>
          <w:rFonts w:hint="eastAsia" w:ascii="宋体" w:hAnsi="宋体"/>
          <w:sz w:val="24"/>
          <w:szCs w:val="24"/>
          <w:highlight w:val="none"/>
        </w:rPr>
        <w:t>的</w:t>
      </w:r>
      <w:r>
        <w:rPr>
          <w:rFonts w:hint="eastAsia" w:ascii="宋体" w:hAnsi="宋体"/>
          <w:sz w:val="24"/>
          <w:szCs w:val="24"/>
          <w:highlight w:val="none"/>
          <w:lang w:eastAsia="zh-CN"/>
        </w:rPr>
        <w:t>；</w:t>
      </w:r>
    </w:p>
    <w:p w14:paraId="391B9402">
      <w:pPr>
        <w:spacing w:line="360" w:lineRule="auto"/>
        <w:ind w:firstLine="410" w:firstLineChars="171"/>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五</w:t>
      </w:r>
      <w:r>
        <w:rPr>
          <w:rFonts w:hint="eastAsia" w:ascii="宋体" w:hAnsi="宋体"/>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+工程清单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投标单位营业执照+资质文件+安全生产许可证</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11</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24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招标联系人：成工13702343656（微信同号），投标人需在投标截止时间前2日内向招标联系人报名。</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7"/>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7"/>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4"/>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11 </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17</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5"/>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9"/>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佛山建业大厦弱电智能化工程</w:t>
      </w:r>
      <w:r>
        <w:rPr>
          <w:rFonts w:hint="eastAsia" w:ascii="宋体" w:hAnsi="宋体" w:cs="宋体"/>
          <w:b/>
          <w:bCs w:val="0"/>
          <w:sz w:val="24"/>
          <w:highlight w:val="none"/>
          <w:u w:val="single"/>
          <w:lang w:val="en-US" w:eastAsia="zh-CN"/>
        </w:rPr>
        <w:t>施工劳务</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并完全响应贵司询价文件、工程清单、施工图纸、项目管理要求及合同范本的各项要求</w:t>
      </w:r>
      <w:r>
        <w:rPr>
          <w:rFonts w:hint="eastAsia" w:ascii="宋体" w:hAnsi="宋体" w:cs="宋体"/>
          <w:highlight w:val="none"/>
        </w:rPr>
        <w:t>，我司的最终报价如下：</w:t>
      </w:r>
    </w:p>
    <w:tbl>
      <w:tblPr>
        <w:tblStyle w:val="35"/>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4103"/>
        <w:gridCol w:w="1811"/>
        <w:gridCol w:w="1758"/>
        <w:gridCol w:w="1134"/>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3"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工程名称</w:t>
            </w:r>
          </w:p>
        </w:tc>
        <w:tc>
          <w:tcPr>
            <w:tcW w:w="2062"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工作内容</w:t>
            </w:r>
          </w:p>
        </w:tc>
        <w:tc>
          <w:tcPr>
            <w:tcW w:w="910"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883"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569"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73"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佛山建业大厦弱电智能化工程施工劳务</w:t>
            </w:r>
          </w:p>
        </w:tc>
        <w:tc>
          <w:tcPr>
            <w:tcW w:w="2062" w:type="pct"/>
            <w:vAlign w:val="center"/>
          </w:tcPr>
          <w:p w14:paraId="5967388F">
            <w:pPr>
              <w:bidi w:val="0"/>
              <w:rPr>
                <w:rFonts w:hint="eastAsia"/>
                <w:lang w:val="en-US" w:eastAsia="zh-CN"/>
              </w:rPr>
            </w:pPr>
            <w:r>
              <w:rPr>
                <w:rFonts w:hint="eastAsia"/>
                <w:lang w:val="en-US" w:eastAsia="zh-CN"/>
              </w:rPr>
              <w:t>1、主要施工内容包括：智能化专网系统、办公专网系统、视频监控系统、出入口（门禁）管理系统、停车场管理系统、电子巡更系统、电梯五方通话系统、紧急报警系统、能耗管理系统、信息发布系统、机房工程、弱电综合管路等系统的施工，并配合完成验收工作。具体内容详见工程量清</w:t>
            </w:r>
            <w:bookmarkStart w:id="2" w:name="_GoBack"/>
            <w:bookmarkEnd w:id="2"/>
            <w:r>
              <w:rPr>
                <w:rFonts w:hint="eastAsia"/>
                <w:lang w:val="en-US" w:eastAsia="zh-CN"/>
              </w:rPr>
              <w:t>单及相关图纸。</w:t>
            </w:r>
          </w:p>
          <w:p w14:paraId="27338087">
            <w:pPr>
              <w:bidi w:val="0"/>
              <w:rPr>
                <w:rFonts w:hint="eastAsia"/>
                <w:lang w:val="en-US" w:eastAsia="zh-CN"/>
              </w:rPr>
            </w:pPr>
            <w:r>
              <w:rPr>
                <w:rFonts w:hint="eastAsia"/>
                <w:lang w:val="en-US" w:eastAsia="zh-CN"/>
              </w:rPr>
              <w:t>2、施工须严格按图施工，确保符合设计及规范要求。</w:t>
            </w:r>
          </w:p>
          <w:p w14:paraId="3AC6AC53">
            <w:pPr>
              <w:bidi w:val="0"/>
              <w:rPr>
                <w:rFonts w:hint="eastAsia"/>
                <w:lang w:val="en-US" w:eastAsia="zh-CN"/>
              </w:rPr>
            </w:pPr>
            <w:r>
              <w:rPr>
                <w:rFonts w:hint="eastAsia"/>
                <w:lang w:val="en-US" w:eastAsia="zh-CN"/>
              </w:rPr>
              <w:t>3、甲供材料详见清单所列内容；手工井、安全岛、监控立杆基础、监控机房装修、照明、接地、室外管道等按包工包料方式报价，详见清单备注。未单独列项的费用应在其他项目中综合计取。乙方负责采购其他辅材（如角铁、丝杆等），并应充分考虑相关辅材、调试等费用，纳入报价并作说明。</w:t>
            </w:r>
          </w:p>
          <w:p w14:paraId="42B716E1">
            <w:pPr>
              <w:bidi w:val="0"/>
              <w:rPr>
                <w:rFonts w:hint="eastAsia"/>
                <w:lang w:val="en-US" w:eastAsia="zh-CN"/>
              </w:rPr>
            </w:pPr>
            <w:r>
              <w:rPr>
                <w:rFonts w:hint="eastAsia"/>
                <w:lang w:val="en-US" w:eastAsia="zh-CN"/>
              </w:rPr>
              <w:t>6、施工前须现场勘查，综合考虑高空作业车、脚手架、临时仓库等现场条件，相应费用纳入报价。</w:t>
            </w:r>
          </w:p>
          <w:p w14:paraId="454486DB">
            <w:pPr>
              <w:rPr>
                <w:rFonts w:hint="default" w:ascii="宋体" w:hAnsi="宋体" w:eastAsia="宋体" w:cs="宋体"/>
                <w:color w:val="auto"/>
                <w:szCs w:val="22"/>
                <w:highlight w:val="none"/>
                <w:lang w:val="en-US" w:eastAsia="zh-CN"/>
              </w:rPr>
            </w:pPr>
          </w:p>
        </w:tc>
        <w:tc>
          <w:tcPr>
            <w:tcW w:w="910"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val="en-US" w:eastAsia="zh-CN"/>
              </w:rPr>
              <w:t>24</w:t>
            </w:r>
            <w:r>
              <w:rPr>
                <w:rFonts w:hint="eastAsia" w:ascii="宋体" w:hAnsi="宋体"/>
                <w:highlight w:val="none"/>
                <w:u w:val="single"/>
                <w:lang w:eastAsia="zh-CN"/>
              </w:rPr>
              <w:t xml:space="preserve">0000.00 </w:t>
            </w:r>
          </w:p>
        </w:tc>
        <w:tc>
          <w:tcPr>
            <w:tcW w:w="883" w:type="pct"/>
            <w:vAlign w:val="center"/>
          </w:tcPr>
          <w:p w14:paraId="0206F759">
            <w:pPr>
              <w:widowControl/>
              <w:jc w:val="center"/>
              <w:textAlignment w:val="center"/>
              <w:rPr>
                <w:rFonts w:hint="default"/>
                <w:highlight w:val="none"/>
                <w:lang w:val="en-US" w:eastAsia="zh-CN"/>
              </w:rPr>
            </w:pPr>
          </w:p>
        </w:tc>
        <w:tc>
          <w:tcPr>
            <w:tcW w:w="569"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9"/>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9"/>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9"/>
        <w:wordWrap/>
        <w:rPr>
          <w:rFonts w:hint="default" w:ascii="宋体" w:eastAsia="宋体"/>
          <w:sz w:val="28"/>
          <w:szCs w:val="28"/>
          <w:highlight w:val="none"/>
          <w:lang w:val="en-US" w:eastAsia="zh-CN"/>
        </w:rPr>
      </w:pPr>
      <w:bookmarkStart w:id="0" w:name="_Toc232560286"/>
      <w:bookmarkStart w:id="1" w:name="_Toc320526754"/>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9"/>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9"/>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9"/>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9"/>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9"/>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9"/>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9"/>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9"/>
        <w:wordWrap/>
        <w:rPr>
          <w:rFonts w:hint="default" w:eastAsia="宋体"/>
          <w:highlight w:val="none"/>
          <w:lang w:val="en-US" w:eastAsia="zh-CN"/>
        </w:rPr>
      </w:pPr>
    </w:p>
    <w:p w14:paraId="56813912">
      <w:pPr>
        <w:pStyle w:val="9"/>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7"/>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916425B"/>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D501CA"/>
    <w:rsid w:val="71F20C91"/>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unhideWhenUsed/>
    <w:qFormat/>
    <w:uiPriority w:val="99"/>
    <w:rPr>
      <w:b/>
      <w:sz w:val="28"/>
      <w:szCs w:val="20"/>
    </w:rPr>
  </w:style>
  <w:style w:type="paragraph" w:styleId="8">
    <w:name w:val="Body Text Indent"/>
    <w:basedOn w:val="1"/>
    <w:qFormat/>
    <w:uiPriority w:val="0"/>
    <w:pPr>
      <w:spacing w:line="480" w:lineRule="exact"/>
      <w:ind w:left="720" w:hanging="720" w:hangingChars="300"/>
    </w:pPr>
    <w:rPr>
      <w:sz w:val="24"/>
    </w:rPr>
  </w:style>
  <w:style w:type="paragraph" w:styleId="9">
    <w:name w:val="Plain Text"/>
    <w:basedOn w:val="1"/>
    <w:unhideWhenUsed/>
    <w:qFormat/>
    <w:uiPriority w:val="99"/>
    <w:rPr>
      <w:rFonts w:ascii="宋体" w:hAnsi="Courier New"/>
      <w:szCs w:val="20"/>
    </w:rPr>
  </w:style>
  <w:style w:type="paragraph" w:styleId="10">
    <w:name w:val="Balloon Text"/>
    <w:basedOn w:val="1"/>
    <w:link w:val="32"/>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contextualSpacing/>
    </w:pPr>
  </w:style>
  <w:style w:type="paragraph" w:styleId="14">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3"/>
    <w:next w:val="1"/>
    <w:link w:val="25"/>
    <w:qFormat/>
    <w:uiPriority w:val="0"/>
    <w:pPr>
      <w:spacing w:before="240" w:after="60" w:line="360" w:lineRule="auto"/>
      <w:jc w:val="center"/>
    </w:pPr>
    <w:rPr>
      <w:rFonts w:ascii="Cambria" w:hAnsi="Cambria" w:eastAsia="仿宋_GB2312"/>
      <w:bCs w:val="0"/>
      <w:szCs w:val="32"/>
    </w:rPr>
  </w:style>
  <w:style w:type="paragraph" w:styleId="17">
    <w:name w:val="Body Text First Indent"/>
    <w:basedOn w:val="1"/>
    <w:unhideWhenUsed/>
    <w:qFormat/>
    <w:uiPriority w:val="99"/>
    <w:pPr>
      <w:ind w:firstLine="420" w:firstLineChars="100"/>
    </w:pPr>
    <w:rPr>
      <w:rFonts w:ascii="Times New Roman" w:hAnsi="Times New Roman"/>
    </w:rPr>
  </w:style>
  <w:style w:type="paragraph" w:styleId="18">
    <w:name w:val="Body Text First Indent 2"/>
    <w:basedOn w:val="8"/>
    <w:qFormat/>
    <w:uiPriority w:val="0"/>
    <w:pPr>
      <w:spacing w:after="120" w:line="240" w:lineRule="auto"/>
      <w:ind w:left="420" w:leftChars="200" w:firstLine="420" w:firstLineChars="200"/>
    </w:pPr>
    <w:rPr>
      <w:kern w:val="0"/>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annotation reference"/>
    <w:basedOn w:val="21"/>
    <w:unhideWhenUsed/>
    <w:qFormat/>
    <w:uiPriority w:val="99"/>
    <w:rPr>
      <w:sz w:val="21"/>
      <w:szCs w:val="21"/>
    </w:rPr>
  </w:style>
  <w:style w:type="character" w:customStyle="1" w:styleId="25">
    <w:name w:val="标题 字符"/>
    <w:basedOn w:val="21"/>
    <w:link w:val="16"/>
    <w:qFormat/>
    <w:uiPriority w:val="0"/>
    <w:rPr>
      <w:rFonts w:ascii="Cambria" w:hAnsi="Cambria" w:eastAsia="仿宋_GB2312" w:cs="Times New Roman"/>
      <w:b/>
      <w:kern w:val="44"/>
      <w:sz w:val="44"/>
      <w:szCs w:val="32"/>
    </w:rPr>
  </w:style>
  <w:style w:type="character" w:customStyle="1" w:styleId="26">
    <w:name w:val="HTML 预设格式 字符"/>
    <w:basedOn w:val="21"/>
    <w:link w:val="14"/>
    <w:qFormat/>
    <w:uiPriority w:val="0"/>
    <w:rPr>
      <w:rFonts w:ascii="宋体" w:hAnsi="宋体" w:eastAsia="宋体" w:cs="宋体"/>
      <w:kern w:val="0"/>
      <w:sz w:val="24"/>
      <w:szCs w:val="24"/>
    </w:rPr>
  </w:style>
  <w:style w:type="character" w:customStyle="1" w:styleId="27">
    <w:name w:val="标题 1 字符"/>
    <w:basedOn w:val="21"/>
    <w:link w:val="3"/>
    <w:qFormat/>
    <w:uiPriority w:val="9"/>
    <w:rPr>
      <w:rFonts w:ascii="Times New Roman" w:hAnsi="Times New Roman" w:eastAsia="宋体" w:cs="Times New Roman"/>
      <w:b/>
      <w:bCs/>
      <w:kern w:val="44"/>
      <w:sz w:val="44"/>
      <w:szCs w:val="44"/>
    </w:rPr>
  </w:style>
  <w:style w:type="character" w:customStyle="1" w:styleId="28">
    <w:name w:val="页眉 字符"/>
    <w:basedOn w:val="21"/>
    <w:link w:val="12"/>
    <w:semiHidden/>
    <w:qFormat/>
    <w:uiPriority w:val="99"/>
    <w:rPr>
      <w:rFonts w:ascii="Times New Roman" w:hAnsi="Times New Roman" w:eastAsia="宋体" w:cs="Times New Roman"/>
      <w:sz w:val="18"/>
      <w:szCs w:val="18"/>
    </w:rPr>
  </w:style>
  <w:style w:type="character" w:customStyle="1" w:styleId="29">
    <w:name w:val="页脚 字符"/>
    <w:basedOn w:val="21"/>
    <w:link w:val="11"/>
    <w:qFormat/>
    <w:uiPriority w:val="99"/>
    <w:rPr>
      <w:rFonts w:ascii="Times New Roman" w:hAnsi="Times New Roman" w:eastAsia="宋体" w:cs="Times New Roman"/>
      <w:sz w:val="18"/>
      <w:szCs w:val="18"/>
    </w:rPr>
  </w:style>
  <w:style w:type="paragraph" w:customStyle="1" w:styleId="30">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2">
    <w:name w:val="批注框文本 字符"/>
    <w:basedOn w:val="21"/>
    <w:link w:val="10"/>
    <w:semiHidden/>
    <w:qFormat/>
    <w:uiPriority w:val="99"/>
    <w:rPr>
      <w:kern w:val="2"/>
      <w:sz w:val="18"/>
      <w:szCs w:val="18"/>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List Paragraph"/>
    <w:basedOn w:val="1"/>
    <w:qFormat/>
    <w:uiPriority w:val="99"/>
    <w:pPr>
      <w:ind w:firstLine="420" w:firstLineChars="200"/>
    </w:pPr>
  </w:style>
  <w:style w:type="table" w:customStyle="1" w:styleId="35">
    <w:name w:val="网格型1"/>
    <w:basedOn w:val="1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61"/>
    <w:qFormat/>
    <w:uiPriority w:val="0"/>
    <w:rPr>
      <w:rFonts w:hint="eastAsia" w:ascii="宋体" w:hAnsi="宋体" w:eastAsia="宋体" w:cs="宋体"/>
      <w:b/>
      <w:color w:val="000000"/>
      <w:sz w:val="20"/>
      <w:szCs w:val="20"/>
      <w:u w:val="none"/>
    </w:rPr>
  </w:style>
  <w:style w:type="paragraph" w:customStyle="1" w:styleId="37">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8">
    <w:name w:val="font01"/>
    <w:basedOn w:val="21"/>
    <w:qFormat/>
    <w:uiPriority w:val="0"/>
    <w:rPr>
      <w:rFonts w:hint="eastAsia" w:ascii="宋体" w:hAnsi="宋体" w:eastAsia="宋体" w:cs="宋体"/>
      <w:color w:val="000000"/>
      <w:sz w:val="22"/>
      <w:szCs w:val="22"/>
      <w:u w:val="none"/>
    </w:rPr>
  </w:style>
  <w:style w:type="paragraph" w:customStyle="1" w:styleId="39">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1980</Words>
  <Characters>2053</Characters>
  <Lines>19</Lines>
  <Paragraphs>5</Paragraphs>
  <TotalTime>4</TotalTime>
  <ScaleCrop>false</ScaleCrop>
  <LinksUpToDate>false</LinksUpToDate>
  <CharactersWithSpaces>2212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2025-11-17T01:03:19Z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